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ED5E7A">
      <w:pPr>
        <w:sectPr w:rsidR="00A66099" w:rsidSect="00B565CC">
          <w:headerReference w:type="default" r:id="rId8"/>
          <w:footerReference w:type="default" r:id="rId9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  <w:bookmarkStart w:id="10" w:name="_GoBack"/>
      <w:bookmarkEnd w:id="1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401406">
        <w:tc>
          <w:tcPr>
            <w:tcW w:w="8978" w:type="dxa"/>
          </w:tcPr>
          <w:p w:rsidR="00D35AD6" w:rsidRPr="009E00C1" w:rsidRDefault="00ED5E7A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ED5E7A" w:rsidP="009C60E0">
      <w:pPr>
        <w:tabs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750C9E" w:rsidRPr="00F25C71" w:rsidRDefault="00ED5E7A" w:rsidP="002F215A">
      <w:pPr>
        <w:tabs>
          <w:tab w:val="left" w:pos="-720"/>
          <w:tab w:val="left" w:pos="0"/>
          <w:tab w:val="left" w:pos="6909"/>
        </w:tabs>
        <w:suppressAutoHyphens/>
        <w:jc w:val="both"/>
        <w:rPr>
          <w:rFonts w:cs="Arial"/>
          <w:szCs w:val="24"/>
        </w:rPr>
      </w:pPr>
    </w:p>
    <w:p w:rsidR="009C60E0" w:rsidRPr="009C60E0" w:rsidRDefault="00ED5E7A" w:rsidP="009C60E0">
      <w:pPr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PARA:</w:t>
      </w:r>
      <w:r w:rsidRPr="009C60E0">
        <w:rPr>
          <w:rFonts w:cs="Arial"/>
          <w:szCs w:val="24"/>
        </w:rPr>
        <w:tab/>
      </w:r>
      <w:r w:rsidRPr="009C60E0">
        <w:rPr>
          <w:rFonts w:cs="Arial"/>
          <w:b/>
          <w:szCs w:val="24"/>
        </w:rPr>
        <w:t xml:space="preserve">MARÍA TERESA VELANDIA FERNANDEZ </w:t>
      </w:r>
    </w:p>
    <w:p w:rsidR="009C60E0" w:rsidRPr="009C60E0" w:rsidRDefault="00ED5E7A" w:rsidP="009C60E0">
      <w:pPr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                     Contralora Auxiliar (EF)</w:t>
      </w:r>
    </w:p>
    <w:p w:rsidR="009C60E0" w:rsidRPr="009C60E0" w:rsidRDefault="00ED5E7A" w:rsidP="009C60E0">
      <w:pPr>
        <w:rPr>
          <w:rFonts w:cs="Arial"/>
          <w:szCs w:val="24"/>
        </w:rPr>
      </w:pPr>
    </w:p>
    <w:p w:rsidR="009C60E0" w:rsidRPr="009C60E0" w:rsidRDefault="00ED5E7A" w:rsidP="009C60E0">
      <w:pPr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 xml:space="preserve">                     BIVIANA DUQUE TORO</w:t>
      </w:r>
    </w:p>
    <w:p w:rsidR="009C60E0" w:rsidRPr="009C60E0" w:rsidRDefault="00ED5E7A" w:rsidP="009C60E0">
      <w:pPr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 xml:space="preserve">                     </w:t>
      </w:r>
      <w:r w:rsidRPr="009C60E0">
        <w:rPr>
          <w:rFonts w:cs="Arial"/>
          <w:szCs w:val="24"/>
        </w:rPr>
        <w:t xml:space="preserve">Director Técnico de Planeación  </w:t>
      </w:r>
    </w:p>
    <w:p w:rsidR="009C60E0" w:rsidRPr="009C60E0" w:rsidRDefault="00ED5E7A" w:rsidP="009C60E0">
      <w:pPr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                     </w:t>
      </w:r>
    </w:p>
    <w:p w:rsidR="009C60E0" w:rsidRPr="009C60E0" w:rsidRDefault="00ED5E7A" w:rsidP="009C60E0">
      <w:pPr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                     Responsables  Proceso Vigilancia y Control a la Gestión Fiscal                              </w:t>
      </w:r>
    </w:p>
    <w:p w:rsidR="009C60E0" w:rsidRPr="009C60E0" w:rsidRDefault="00ED5E7A" w:rsidP="009C60E0">
      <w:pPr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                                </w:t>
      </w:r>
    </w:p>
    <w:p w:rsidR="009C60E0" w:rsidRPr="009C60E0" w:rsidRDefault="00ED5E7A" w:rsidP="009C60E0">
      <w:pPr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DE:</w:t>
      </w:r>
      <w:r w:rsidRPr="009C60E0">
        <w:rPr>
          <w:rFonts w:cs="Arial"/>
          <w:b/>
          <w:szCs w:val="24"/>
        </w:rPr>
        <w:tab/>
        <w:t xml:space="preserve">          </w:t>
      </w:r>
      <w:r w:rsidRPr="009C60E0">
        <w:rPr>
          <w:rFonts w:cs="Arial"/>
          <w:szCs w:val="24"/>
        </w:rPr>
        <w:t>Jefe Oficina de Control Interno</w:t>
      </w:r>
    </w:p>
    <w:p w:rsidR="009C60E0" w:rsidRPr="009C60E0" w:rsidRDefault="00ED5E7A" w:rsidP="009C60E0">
      <w:pPr>
        <w:rPr>
          <w:rFonts w:cs="Arial"/>
          <w:szCs w:val="24"/>
        </w:rPr>
      </w:pPr>
    </w:p>
    <w:p w:rsidR="009C60E0" w:rsidRPr="009C60E0" w:rsidRDefault="00ED5E7A" w:rsidP="009C60E0">
      <w:pPr>
        <w:ind w:left="1418" w:hanging="1418"/>
        <w:rPr>
          <w:rFonts w:cs="Arial"/>
          <w:szCs w:val="24"/>
        </w:rPr>
      </w:pPr>
      <w:r w:rsidRPr="009C60E0">
        <w:rPr>
          <w:rFonts w:cs="Arial"/>
          <w:b/>
          <w:szCs w:val="24"/>
        </w:rPr>
        <w:t>ASUNTO:</w:t>
      </w:r>
      <w:r w:rsidRPr="009C60E0">
        <w:rPr>
          <w:rFonts w:cs="Arial"/>
          <w:szCs w:val="24"/>
        </w:rPr>
        <w:tab/>
        <w:t xml:space="preserve">Informe de seguimiento – septiembre 2015.                                    Plan de Mejoramiento – Acciones Correctivas y de Mejora </w:t>
      </w:r>
    </w:p>
    <w:p w:rsidR="009C60E0" w:rsidRPr="009C60E0" w:rsidRDefault="00ED5E7A" w:rsidP="009C60E0">
      <w:pPr>
        <w:ind w:left="1418" w:hanging="1568"/>
        <w:rPr>
          <w:rFonts w:cs="Arial"/>
          <w:sz w:val="22"/>
          <w:lang w:val="es-MX"/>
        </w:rPr>
      </w:pPr>
      <w:r w:rsidRPr="009C60E0">
        <w:rPr>
          <w:rFonts w:cs="Arial"/>
          <w:b/>
          <w:szCs w:val="24"/>
        </w:rPr>
        <w:t xml:space="preserve">                       </w:t>
      </w:r>
      <w:r w:rsidRPr="009C60E0">
        <w:rPr>
          <w:rFonts w:cs="Arial"/>
          <w:szCs w:val="24"/>
        </w:rPr>
        <w:t xml:space="preserve"> </w:t>
      </w:r>
      <w:r w:rsidRPr="009C60E0">
        <w:rPr>
          <w:rFonts w:cs="Arial"/>
          <w:sz w:val="22"/>
          <w:lang w:val="es-MX"/>
        </w:rPr>
        <w:t>Plan de Evaluación y seguimiento de los Riesgos</w:t>
      </w:r>
    </w:p>
    <w:p w:rsidR="009C60E0" w:rsidRPr="009C60E0" w:rsidRDefault="00ED5E7A" w:rsidP="009C60E0">
      <w:pPr>
        <w:ind w:left="1418" w:hanging="1568"/>
        <w:rPr>
          <w:rFonts w:cs="Arial"/>
          <w:sz w:val="22"/>
          <w:lang w:val="es-MX"/>
        </w:rPr>
      </w:pPr>
    </w:p>
    <w:p w:rsidR="009C60E0" w:rsidRDefault="00ED5E7A" w:rsidP="009C60E0">
      <w:pPr>
        <w:ind w:left="1418" w:hanging="1418"/>
        <w:rPr>
          <w:rFonts w:cs="Arial"/>
          <w:sz w:val="22"/>
          <w:lang w:val="es-MX"/>
        </w:rPr>
      </w:pPr>
      <w:r>
        <w:rPr>
          <w:rFonts w:cs="Arial"/>
          <w:sz w:val="22"/>
          <w:lang w:val="es-MX"/>
        </w:rPr>
        <w:t>Respetada doctora María Teresa, atento saludo:</w:t>
      </w:r>
    </w:p>
    <w:p w:rsidR="009C60E0" w:rsidRPr="009C60E0" w:rsidRDefault="00ED5E7A" w:rsidP="009C60E0">
      <w:pPr>
        <w:ind w:left="1418" w:hanging="1568"/>
        <w:rPr>
          <w:rFonts w:cs="Arial"/>
          <w:color w:val="000000"/>
          <w:szCs w:val="24"/>
        </w:rPr>
      </w:pPr>
      <w:r w:rsidRPr="009C60E0">
        <w:rPr>
          <w:rFonts w:cs="Arial"/>
          <w:sz w:val="22"/>
          <w:lang w:val="es-MX"/>
        </w:rPr>
        <w:tab/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De conformidad con lo establecido mediante la Resolución Reglamentaria                    No. 021 de junio 11 de 2015, de manera atenta me permito remitir el informe sobre el seguimiento efectuado al Anexo 1 Plan de Mejoramiento – Acciones Correctivas y d</w:t>
      </w:r>
      <w:r w:rsidRPr="009C60E0">
        <w:rPr>
          <w:rFonts w:cs="Arial"/>
          <w:color w:val="000000"/>
          <w:szCs w:val="24"/>
        </w:rPr>
        <w:t>e Mejora y al Plan  de evaluación y seguimiento de riesgos, con corte a septiembre de 2015, correspondiente al Proceso Vigilancia y Control a la Gestión Fiscal.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  <w:r w:rsidRPr="009C60E0">
        <w:rPr>
          <w:rFonts w:cs="Arial"/>
          <w:b/>
          <w:color w:val="000000"/>
          <w:szCs w:val="24"/>
        </w:rPr>
        <w:t xml:space="preserve">SEGUIMIENTO AL PLAN DE MEJORAMIENTO 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Para el presente trimestre de seguimiento, se tuvo en cu</w:t>
      </w:r>
      <w:r w:rsidRPr="009C60E0">
        <w:rPr>
          <w:rFonts w:cs="Arial"/>
          <w:color w:val="000000"/>
          <w:szCs w:val="24"/>
        </w:rPr>
        <w:t>enta la inclusión de los resultados de la Auditoría Regular – Vigencia 2014, efectuada por la Auditoría Fiscal;  producto de la cual, ingresó un (1) hallazgo (pronunciamiento) al Plan de Mejoramiento del Proceso de Vigilancia y Control a la Gestión Fiscal.</w:t>
      </w:r>
      <w:r w:rsidRPr="009C60E0">
        <w:rPr>
          <w:rFonts w:cs="Arial"/>
          <w:color w:val="000000"/>
          <w:szCs w:val="24"/>
        </w:rPr>
        <w:t xml:space="preserve">  Es decir, que a septiembre de 2015, el Plan de Mejoramiento está conformado por cinco (5) hallazgos, así: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Tres Acciones de Mejora:</w:t>
      </w:r>
    </w:p>
    <w:p w:rsidR="009C60E0" w:rsidRPr="009C60E0" w:rsidRDefault="00ED5E7A" w:rsidP="009C60E0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Origen 1 – Autoevaluación: dos (2) hallazgos.</w:t>
      </w:r>
    </w:p>
    <w:p w:rsidR="009C60E0" w:rsidRPr="009C60E0" w:rsidRDefault="00ED5E7A" w:rsidP="009C60E0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Origen 4 – Auditoría Externa  Entes Certificadores: un (1) hallazgo.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Dos Ac</w:t>
      </w:r>
      <w:r w:rsidRPr="009C60E0">
        <w:rPr>
          <w:rFonts w:cs="Arial"/>
          <w:color w:val="000000"/>
          <w:szCs w:val="24"/>
        </w:rPr>
        <w:t>ciones Correctivas:</w:t>
      </w:r>
    </w:p>
    <w:p w:rsidR="009C60E0" w:rsidRPr="009C60E0" w:rsidRDefault="00ED5E7A" w:rsidP="009C60E0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Origen 2 – Auditoría de Control Interno: un (1) hallazgo.</w:t>
      </w:r>
    </w:p>
    <w:p w:rsidR="009C60E0" w:rsidRPr="009C60E0" w:rsidRDefault="00ED5E7A" w:rsidP="009C60E0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Origen 6 – Auditoría Fiscal: un (1) hallazgo.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Verificado el cumplimiento y eficacia de las acciones propuestas, a continuación se resume el estado de los hallazgos: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Cs w:val="24"/>
        </w:rPr>
      </w:pPr>
      <w:r w:rsidRPr="009C60E0">
        <w:rPr>
          <w:rFonts w:cs="Arial"/>
          <w:b/>
          <w:szCs w:val="24"/>
        </w:rPr>
        <w:t>Tabla 1</w:t>
      </w:r>
    </w:p>
    <w:p w:rsidR="009C60E0" w:rsidRPr="009C60E0" w:rsidRDefault="00ED5E7A" w:rsidP="009C60E0">
      <w:pPr>
        <w:jc w:val="center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Plan de Mejoramiento - Acciones Correctivas  y de Mejora</w:t>
      </w:r>
    </w:p>
    <w:p w:rsidR="009C60E0" w:rsidRPr="009C60E0" w:rsidRDefault="00ED5E7A" w:rsidP="009C60E0">
      <w:pPr>
        <w:jc w:val="center"/>
        <w:rPr>
          <w:rFonts w:cs="Arial"/>
          <w:b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34"/>
        <w:gridCol w:w="1134"/>
        <w:gridCol w:w="1292"/>
        <w:gridCol w:w="1153"/>
        <w:gridCol w:w="957"/>
      </w:tblGrid>
      <w:tr w:rsidR="00401406" w:rsidTr="00B755F1">
        <w:trPr>
          <w:trHeight w:val="680"/>
        </w:trPr>
        <w:tc>
          <w:tcPr>
            <w:tcW w:w="2689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ORIGEN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TIPO DE ACCIÓN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ABIERTAS (A)</w:t>
            </w:r>
          </w:p>
        </w:tc>
        <w:tc>
          <w:tcPr>
            <w:tcW w:w="1292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CERRADAS (C)</w:t>
            </w:r>
          </w:p>
        </w:tc>
        <w:tc>
          <w:tcPr>
            <w:tcW w:w="1153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SE SUGIERE EL CIERRE (A*)</w:t>
            </w:r>
          </w:p>
        </w:tc>
        <w:tc>
          <w:tcPr>
            <w:tcW w:w="957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TOTAL </w:t>
            </w:r>
          </w:p>
        </w:tc>
      </w:tr>
      <w:tr w:rsidR="00401406" w:rsidTr="00B755F1">
        <w:trPr>
          <w:trHeight w:val="290"/>
        </w:trPr>
        <w:tc>
          <w:tcPr>
            <w:tcW w:w="2689" w:type="dxa"/>
            <w:shd w:val="clear" w:color="auto" w:fill="auto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 1.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C60E0">
              <w:rPr>
                <w:rFonts w:cs="Arial"/>
                <w:b/>
                <w:sz w:val="16"/>
                <w:szCs w:val="16"/>
              </w:rPr>
              <w:t>AUTOEVALUACIÓN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Mejora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401406" w:rsidTr="00B755F1">
        <w:trPr>
          <w:trHeight w:val="283"/>
        </w:trPr>
        <w:tc>
          <w:tcPr>
            <w:tcW w:w="2689" w:type="dxa"/>
            <w:shd w:val="clear" w:color="auto" w:fill="auto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 2. CONTROL INTERNO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Correctiva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401406" w:rsidTr="00B755F1">
        <w:trPr>
          <w:trHeight w:val="36"/>
        </w:trPr>
        <w:tc>
          <w:tcPr>
            <w:tcW w:w="2689" w:type="dxa"/>
            <w:shd w:val="clear" w:color="auto" w:fill="auto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4. AUDITORÍA DEL SISTEMA INTEGRADO DE </w:t>
            </w:r>
            <w:r w:rsidRPr="009C60E0">
              <w:rPr>
                <w:rFonts w:cs="Arial"/>
                <w:b/>
                <w:sz w:val="16"/>
                <w:szCs w:val="16"/>
              </w:rPr>
              <w:t>GESTIÓN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Mejora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401406" w:rsidTr="00B755F1">
        <w:trPr>
          <w:trHeight w:val="170"/>
        </w:trPr>
        <w:tc>
          <w:tcPr>
            <w:tcW w:w="3823" w:type="dxa"/>
            <w:gridSpan w:val="2"/>
            <w:shd w:val="clear" w:color="auto" w:fill="C0C0C0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8"/>
                <w:szCs w:val="16"/>
              </w:rPr>
            </w:pPr>
          </w:p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TOTAL PARCIAL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292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3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3</w:t>
            </w:r>
          </w:p>
        </w:tc>
      </w:tr>
      <w:tr w:rsidR="00401406" w:rsidTr="00B755F1">
        <w:trPr>
          <w:trHeight w:val="137"/>
        </w:trPr>
        <w:tc>
          <w:tcPr>
            <w:tcW w:w="8359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HALLAZGOS INGRESADOS EN EL  TERCER TRIMESTRE DE 2015</w:t>
            </w:r>
          </w:p>
        </w:tc>
      </w:tr>
      <w:tr w:rsidR="00401406" w:rsidTr="00B755F1">
        <w:trPr>
          <w:trHeight w:val="261"/>
        </w:trPr>
        <w:tc>
          <w:tcPr>
            <w:tcW w:w="2689" w:type="dxa"/>
            <w:shd w:val="clear" w:color="auto" w:fill="auto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1. AUTOEVALUACIÓN</w:t>
            </w:r>
          </w:p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Mejora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401406" w:rsidTr="00B755F1">
        <w:trPr>
          <w:trHeight w:val="265"/>
        </w:trPr>
        <w:tc>
          <w:tcPr>
            <w:tcW w:w="2689" w:type="dxa"/>
            <w:shd w:val="clear" w:color="auto" w:fill="auto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6. AUDITORÍA FISCAL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Correctiva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1</w:t>
            </w:r>
          </w:p>
        </w:tc>
      </w:tr>
      <w:tr w:rsidR="00401406" w:rsidTr="00B755F1">
        <w:trPr>
          <w:trHeight w:val="314"/>
        </w:trPr>
        <w:tc>
          <w:tcPr>
            <w:tcW w:w="3823" w:type="dxa"/>
            <w:gridSpan w:val="2"/>
            <w:shd w:val="clear" w:color="auto" w:fill="C0C0C0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TOTAL GENERAL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          1</w:t>
            </w:r>
          </w:p>
        </w:tc>
        <w:tc>
          <w:tcPr>
            <w:tcW w:w="1292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53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957" w:type="dxa"/>
            <w:shd w:val="clear" w:color="auto" w:fill="C0C0C0"/>
            <w:vAlign w:val="center"/>
          </w:tcPr>
          <w:p w:rsidR="009C60E0" w:rsidRPr="009C60E0" w:rsidRDefault="00ED5E7A" w:rsidP="009C60E0">
            <w:pPr>
              <w:rPr>
                <w:rFonts w:cs="Arial"/>
                <w:b/>
                <w:sz w:val="16"/>
                <w:szCs w:val="16"/>
              </w:rPr>
            </w:pPr>
            <w:r w:rsidRPr="009C60E0">
              <w:rPr>
                <w:rFonts w:cs="Arial"/>
                <w:b/>
                <w:sz w:val="16"/>
                <w:szCs w:val="16"/>
              </w:rPr>
              <w:t xml:space="preserve">        5</w:t>
            </w:r>
          </w:p>
        </w:tc>
      </w:tr>
    </w:tbl>
    <w:p w:rsidR="009C60E0" w:rsidRPr="009C60E0" w:rsidRDefault="00ED5E7A" w:rsidP="009C60E0">
      <w:pPr>
        <w:rPr>
          <w:rFonts w:cs="Arial"/>
          <w:b/>
          <w:i/>
          <w:sz w:val="16"/>
          <w:szCs w:val="16"/>
        </w:rPr>
      </w:pPr>
      <w:r w:rsidRPr="009C60E0">
        <w:rPr>
          <w:rFonts w:cs="Arial"/>
          <w:b/>
          <w:i/>
          <w:sz w:val="16"/>
          <w:szCs w:val="16"/>
        </w:rPr>
        <w:t xml:space="preserve">Fuente: Plan de Mejoramiento Proceso de Vigilancia y Control a la Gestión Fiscal  </w:t>
      </w:r>
    </w:p>
    <w:p w:rsidR="009C60E0" w:rsidRPr="009C60E0" w:rsidRDefault="00ED5E7A" w:rsidP="009C60E0">
      <w:pPr>
        <w:rPr>
          <w:rFonts w:cs="Arial"/>
          <w:color w:val="FF0000"/>
          <w:szCs w:val="22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Como resultado del seguimiento, a continuación se detalla el estado de cada una de las </w:t>
      </w:r>
      <w:r w:rsidRPr="009C60E0">
        <w:rPr>
          <w:rFonts w:cs="Arial"/>
          <w:color w:val="000000"/>
          <w:szCs w:val="24"/>
        </w:rPr>
        <w:t>Acciones Correctivas y de Mejora,</w:t>
      </w:r>
      <w:r w:rsidRPr="009C60E0">
        <w:rPr>
          <w:rFonts w:cs="Arial"/>
          <w:szCs w:val="24"/>
        </w:rPr>
        <w:t xml:space="preserve"> incluidos en el Plan de Mejoramiento del Proceso de</w:t>
      </w:r>
      <w:r w:rsidRPr="009C60E0">
        <w:rPr>
          <w:rFonts w:cs="Arial"/>
          <w:szCs w:val="24"/>
        </w:rPr>
        <w:t xml:space="preserve"> Vigilancia y Control a la Gestión Fiscal con corte a septiembre de 2015.</w:t>
      </w:r>
    </w:p>
    <w:p w:rsidR="009C60E0" w:rsidRPr="009C60E0" w:rsidRDefault="00ED5E7A" w:rsidP="009C60E0">
      <w:pPr>
        <w:jc w:val="both"/>
        <w:rPr>
          <w:rFonts w:cs="Arial"/>
          <w:b/>
          <w:color w:val="000000"/>
          <w:szCs w:val="24"/>
        </w:rPr>
      </w:pPr>
    </w:p>
    <w:p w:rsidR="009C60E0" w:rsidRPr="009C60E0" w:rsidRDefault="00ED5E7A" w:rsidP="009C60E0">
      <w:pPr>
        <w:numPr>
          <w:ilvl w:val="0"/>
          <w:numId w:val="3"/>
        </w:numPr>
        <w:contextualSpacing/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 xml:space="preserve">ACCIONES DE MEJORA 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Respecto a este tipo de acciones, el proceso cuenta con dos (2) Hallazgos clasificado en el origen 1 – Autoevaluación; a los cuales se les autoriza el cierre </w:t>
      </w:r>
      <w:r w:rsidRPr="009C60E0">
        <w:rPr>
          <w:rFonts w:cs="Arial"/>
          <w:szCs w:val="24"/>
        </w:rPr>
        <w:t>del hallazgo por cumplimiento de las acciones propuestas. Un (1) hallazgo de la Auditoria Externa – Entes Certificadores, el cual se le solicita a la firma certificadora  el cierre del hallazgo por cumplimiento de la acción.</w:t>
      </w:r>
    </w:p>
    <w:p w:rsidR="009C60E0" w:rsidRPr="009C60E0" w:rsidRDefault="00ED5E7A" w:rsidP="009C60E0">
      <w:pPr>
        <w:rPr>
          <w:rFonts w:cs="Arial"/>
          <w:b/>
          <w:szCs w:val="24"/>
        </w:rPr>
      </w:pPr>
    </w:p>
    <w:p w:rsidR="009C60E0" w:rsidRPr="009C60E0" w:rsidRDefault="00ED5E7A" w:rsidP="009C60E0">
      <w:pPr>
        <w:rPr>
          <w:rFonts w:cs="Arial"/>
          <w:color w:val="FF0000"/>
          <w:szCs w:val="24"/>
        </w:rPr>
      </w:pPr>
      <w:r w:rsidRPr="009C60E0">
        <w:rPr>
          <w:rFonts w:cs="Arial"/>
          <w:b/>
          <w:szCs w:val="24"/>
        </w:rPr>
        <w:t xml:space="preserve"> Origen 1- Autoevaluación</w:t>
      </w:r>
    </w:p>
    <w:p w:rsidR="009C60E0" w:rsidRPr="009C60E0" w:rsidRDefault="00ED5E7A" w:rsidP="009C60E0">
      <w:pPr>
        <w:rPr>
          <w:rFonts w:cs="Arial"/>
          <w:color w:val="FF0000"/>
          <w:szCs w:val="24"/>
        </w:rPr>
      </w:pPr>
    </w:p>
    <w:p w:rsidR="009C60E0" w:rsidRPr="009C60E0" w:rsidRDefault="00ED5E7A" w:rsidP="009C60E0">
      <w:pPr>
        <w:numPr>
          <w:ilvl w:val="0"/>
          <w:numId w:val="2"/>
        </w:numPr>
        <w:contextualSpacing/>
        <w:jc w:val="both"/>
        <w:rPr>
          <w:rFonts w:cs="Arial"/>
          <w:i/>
          <w:szCs w:val="24"/>
        </w:rPr>
      </w:pPr>
      <w:r w:rsidRPr="009C60E0">
        <w:rPr>
          <w:rFonts w:cs="Arial"/>
          <w:b/>
          <w:szCs w:val="24"/>
        </w:rPr>
        <w:t>Hallazgo: “</w:t>
      </w:r>
      <w:r w:rsidRPr="009C60E0">
        <w:rPr>
          <w:rFonts w:cs="Arial"/>
          <w:i/>
          <w:szCs w:val="24"/>
        </w:rPr>
        <w:t xml:space="preserve">Caracterizar los hallazgos fiscales para fortalecer la identificación y sustentación de los mismos dentro de un proceso de retroalimentación y articulación con el proceso de Responsabilidad Fiscal con el fin de incrementar la efectividad de los </w:t>
      </w:r>
      <w:r w:rsidRPr="009C60E0">
        <w:rPr>
          <w:rFonts w:cs="Arial"/>
          <w:i/>
          <w:szCs w:val="24"/>
        </w:rPr>
        <w:t>hallazgos fiscales”.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  <w:r w:rsidRPr="009C60E0">
        <w:rPr>
          <w:rFonts w:cs="Arial"/>
          <w:b/>
          <w:szCs w:val="24"/>
        </w:rPr>
        <w:t>Acción 1</w:t>
      </w:r>
      <w:r w:rsidRPr="009C60E0">
        <w:rPr>
          <w:rFonts w:cs="Arial"/>
          <w:b/>
          <w:i/>
          <w:szCs w:val="24"/>
        </w:rPr>
        <w:t>:</w:t>
      </w:r>
      <w:r w:rsidRPr="009C60E0">
        <w:rPr>
          <w:rFonts w:cs="Arial"/>
          <w:i/>
          <w:szCs w:val="24"/>
        </w:rPr>
        <w:t xml:space="preserve"> “Elaborar un informe consolidado de hallazgos fiscales vigencias 2010-2014 que contenga la caracterización de los mismos como insumo para determinar los componentes con mayor riesgos”</w:t>
      </w: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 a septiembre 2015: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Se ver</w:t>
      </w:r>
      <w:r w:rsidRPr="009C60E0">
        <w:rPr>
          <w:rFonts w:cs="Arial"/>
          <w:szCs w:val="24"/>
        </w:rPr>
        <w:t xml:space="preserve">ificó el envió y el contenido del </w:t>
      </w:r>
      <w:r w:rsidRPr="009C60E0">
        <w:rPr>
          <w:rFonts w:cs="Arial"/>
          <w:i/>
          <w:sz w:val="20"/>
        </w:rPr>
        <w:t>INFORME CONSOLIDADO DE HALLAZGOS FISCALES VIGENCIAS 2010 - 2014</w:t>
      </w:r>
      <w:r w:rsidRPr="009C60E0">
        <w:rPr>
          <w:rFonts w:cs="Arial"/>
          <w:szCs w:val="24"/>
        </w:rPr>
        <w:t>. Mediante correo electrónico – Outlook; el 18 de septiembre de 2015 la subdirección de Análisis Estadísticas e Indicadores, entregó en medio físico el documen</w:t>
      </w:r>
      <w:r w:rsidRPr="009C60E0">
        <w:rPr>
          <w:rFonts w:cs="Arial"/>
          <w:szCs w:val="24"/>
        </w:rPr>
        <w:t>to final  que contiene la caracterización de los hallazgos por sector, los hallazgos por componente y las conclusiones respectivas.  Lo anterior, como insumo para determinar los componentes con mayor riesgo.  Se autoriza el cierre del hallazgo por cumplimi</w:t>
      </w:r>
      <w:r w:rsidRPr="009C60E0">
        <w:rPr>
          <w:rFonts w:cs="Arial"/>
          <w:szCs w:val="24"/>
        </w:rPr>
        <w:t>ento de la acción.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numPr>
          <w:ilvl w:val="0"/>
          <w:numId w:val="2"/>
        </w:numPr>
        <w:contextualSpacing/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Hallazgo: “</w:t>
      </w:r>
      <w:r w:rsidRPr="009C60E0">
        <w:rPr>
          <w:rFonts w:cs="Arial"/>
          <w:i/>
          <w:szCs w:val="24"/>
        </w:rPr>
        <w:t>Socializar a las Direcciones Sectoriales de Fiscalización y Reacción Inmediata los cambios de los documentos y procedimientos del Proceso de Vigilancia y Control a la Gestión Fiscal, para asegurar su correcta aplicación y mej</w:t>
      </w:r>
      <w:r w:rsidRPr="009C60E0">
        <w:rPr>
          <w:rFonts w:cs="Arial"/>
          <w:i/>
          <w:szCs w:val="24"/>
        </w:rPr>
        <w:t>oramiento continuo”</w:t>
      </w:r>
    </w:p>
    <w:p w:rsidR="009C60E0" w:rsidRPr="009C60E0" w:rsidRDefault="00ED5E7A" w:rsidP="009C60E0">
      <w:pPr>
        <w:ind w:left="720"/>
        <w:contextualSpacing/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  <w:r w:rsidRPr="009C60E0">
        <w:rPr>
          <w:rFonts w:cs="Arial"/>
          <w:b/>
          <w:szCs w:val="24"/>
        </w:rPr>
        <w:t>Acción 1</w:t>
      </w:r>
      <w:r w:rsidRPr="009C60E0">
        <w:rPr>
          <w:rFonts w:cs="Arial"/>
          <w:b/>
          <w:i/>
          <w:szCs w:val="24"/>
        </w:rPr>
        <w:t>:</w:t>
      </w:r>
      <w:r w:rsidRPr="009C60E0">
        <w:rPr>
          <w:rFonts w:cs="Arial"/>
          <w:i/>
          <w:szCs w:val="24"/>
        </w:rPr>
        <w:t xml:space="preserve"> “Elaborar una circular solicitando a los directores sectoriales la socialización de los cambios de los procedimientos del PVCGF adoptados mediante la Resolución Reglamentaria Nº 037 de 2015”.</w:t>
      </w: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 a septiembre 2015: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Mediante memorando: 3-2015-16963  se verificó  la planilla de asistencia del 14 y 19 de agosto de 2015, que dan cuenta de la socialización de documentos y procedimientos del PVCGF.   Lo anterior, teniendo en cuenta  la Circular No. 3-2015-16000, Proceso N</w:t>
      </w:r>
      <w:r w:rsidRPr="009C60E0">
        <w:rPr>
          <w:rFonts w:cs="Arial"/>
          <w:szCs w:val="24"/>
        </w:rPr>
        <w:t>o. 676078 del 5 de agosto de 2015  en la cual se solicitó  la socialización de los documentos y procedimientos del PVCGF, adoptados mediante la Resolución Reglamentaria No. 037 de 2015 - (Principales cambios).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Las 10 sectoriales de fiscalización y el DRI </w:t>
      </w:r>
      <w:r w:rsidRPr="009C60E0">
        <w:rPr>
          <w:rFonts w:cs="Arial"/>
          <w:szCs w:val="24"/>
        </w:rPr>
        <w:t xml:space="preserve"> remitieron como evidencia el registro de asistencia a la socialización. Se autoriza el cierre del hallazgo por cumplimiento de la acción.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rPr>
          <w:rFonts w:cs="Arial"/>
          <w:color w:val="FF0000"/>
          <w:szCs w:val="24"/>
        </w:rPr>
      </w:pPr>
      <w:r w:rsidRPr="009C60E0">
        <w:rPr>
          <w:rFonts w:cs="Arial"/>
          <w:b/>
          <w:szCs w:val="24"/>
        </w:rPr>
        <w:t>Origen 4 – Auditoria Externa – Entes Certificadores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numPr>
          <w:ilvl w:val="0"/>
          <w:numId w:val="2"/>
        </w:numPr>
        <w:contextualSpacing/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>Hallazgo: “</w:t>
      </w:r>
      <w:r w:rsidRPr="009C60E0">
        <w:rPr>
          <w:rFonts w:cs="Arial"/>
          <w:i/>
          <w:szCs w:val="24"/>
        </w:rPr>
        <w:t xml:space="preserve">Asegurar el porcentaje de la muestra establecida en </w:t>
      </w:r>
      <w:r w:rsidRPr="009C60E0">
        <w:rPr>
          <w:rFonts w:cs="Arial"/>
          <w:i/>
          <w:szCs w:val="24"/>
        </w:rPr>
        <w:t>la fase de planeación, de las auditorias ejecutadas por la organización, a los clientes sujeto”</w:t>
      </w:r>
      <w:r w:rsidRPr="009C60E0">
        <w:rPr>
          <w:rFonts w:cs="Arial"/>
          <w:b/>
          <w:szCs w:val="24"/>
        </w:rPr>
        <w:t>.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  <w:r w:rsidRPr="009C60E0">
        <w:rPr>
          <w:rFonts w:cs="Arial"/>
          <w:b/>
          <w:szCs w:val="24"/>
        </w:rPr>
        <w:t>Acción 1</w:t>
      </w:r>
      <w:r w:rsidRPr="009C60E0">
        <w:rPr>
          <w:rFonts w:cs="Arial"/>
          <w:b/>
          <w:i/>
          <w:szCs w:val="24"/>
        </w:rPr>
        <w:t>:</w:t>
      </w:r>
      <w:r w:rsidRPr="009C60E0">
        <w:rPr>
          <w:rFonts w:cs="Arial"/>
          <w:i/>
          <w:szCs w:val="24"/>
        </w:rPr>
        <w:t xml:space="preserve"> “Incorporar en el procedimiento para elaborar el Informe de auditoría y cierre de auditoria un punto de control que permita verificar y asegurar el cumplimiento del porcentaje de la muestra establecida en el plan de trabajo respectivo para cada auditoria”</w:t>
      </w:r>
      <w:r w:rsidRPr="009C60E0">
        <w:rPr>
          <w:rFonts w:cs="Arial"/>
          <w:i/>
          <w:szCs w:val="24"/>
        </w:rPr>
        <w:t>.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 a septiembre 2015: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Se verificó en el </w:t>
      </w:r>
      <w:r w:rsidRPr="009C60E0">
        <w:rPr>
          <w:rFonts w:cs="Arial"/>
          <w:i/>
          <w:sz w:val="18"/>
          <w:szCs w:val="18"/>
        </w:rPr>
        <w:t>PROCEDIMIENTO PARA ELABORAR EL INFORME DE AUDITORIA Y CIERRE DE AUDITORIA</w:t>
      </w:r>
      <w:r w:rsidRPr="009C60E0">
        <w:rPr>
          <w:rFonts w:cs="Arial"/>
          <w:szCs w:val="24"/>
        </w:rPr>
        <w:t xml:space="preserve"> (del 23 de junio de 2015); que fue actualizado con punto de control respectivo, en la actividad No. 2: "</w:t>
      </w:r>
      <w:r w:rsidRPr="009C60E0">
        <w:rPr>
          <w:rFonts w:cs="Arial"/>
          <w:i/>
          <w:szCs w:val="24"/>
        </w:rPr>
        <w:t xml:space="preserve">Verifica que se hayan </w:t>
      </w:r>
      <w:r w:rsidRPr="009C60E0">
        <w:rPr>
          <w:rFonts w:cs="Arial"/>
          <w:i/>
          <w:szCs w:val="24"/>
        </w:rPr>
        <w:t>cumplido los objetivos establecidos en el Memorando de Asignación de Auditoria y el porcentaje de la muestra determinada para cada factor en el Plan de Trabajo</w:t>
      </w:r>
      <w:r w:rsidRPr="009C60E0">
        <w:rPr>
          <w:rFonts w:cs="Arial"/>
          <w:szCs w:val="24"/>
        </w:rPr>
        <w:t>".  Por lo tanto, se dio cumplimiento a la acción propuesta.  Se solicita a la firma certificador</w:t>
      </w:r>
      <w:r w:rsidRPr="009C60E0">
        <w:rPr>
          <w:rFonts w:cs="Arial"/>
          <w:szCs w:val="24"/>
        </w:rPr>
        <w:t>a  el cierre del hallazgo por cumplimiento de la acción.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numPr>
          <w:ilvl w:val="0"/>
          <w:numId w:val="3"/>
        </w:numPr>
        <w:contextualSpacing/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ACCIONES  CORRECTIVAS</w:t>
      </w:r>
    </w:p>
    <w:p w:rsidR="009C60E0" w:rsidRPr="009C60E0" w:rsidRDefault="00ED5E7A" w:rsidP="009C60E0">
      <w:pPr>
        <w:ind w:left="1504"/>
        <w:contextualSpacing/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Respecto a este tipo de acciones, el proceso de Vigilancia y Control a la Gestión Fiscal, cuenta con un (1) hallazgo clasificado en el origen 6 – Auditoría efectuada por la Au</w:t>
      </w:r>
      <w:r w:rsidRPr="009C60E0">
        <w:rPr>
          <w:rFonts w:cs="Arial"/>
          <w:szCs w:val="24"/>
        </w:rPr>
        <w:t>ditoria Fiscal, el cual se solicita el cierre, por cumplimiento del 100% de las acciones implementadas para subsanar las causas que originaron el hallazgo. Un (1) hallazgo correspondiente al origen 2 – Auditoria efectuada por la Oficina de Control Interno,</w:t>
      </w:r>
      <w:r w:rsidRPr="009C60E0">
        <w:rPr>
          <w:rFonts w:cs="Arial"/>
          <w:szCs w:val="24"/>
        </w:rPr>
        <w:t xml:space="preserve"> debe continuar abierto para verificación y seguimiento. Los resultados de la verificación se describen a continuación: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Origen 2 - Auditoría efectuada por la Oficina de Control Interno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numPr>
          <w:ilvl w:val="0"/>
          <w:numId w:val="1"/>
        </w:numPr>
        <w:contextualSpacing/>
        <w:jc w:val="both"/>
        <w:rPr>
          <w:rFonts w:cs="Arial"/>
          <w:i/>
          <w:szCs w:val="24"/>
        </w:rPr>
      </w:pPr>
      <w:r w:rsidRPr="009C60E0">
        <w:rPr>
          <w:rFonts w:cs="Arial"/>
          <w:b/>
          <w:i/>
          <w:szCs w:val="24"/>
        </w:rPr>
        <w:t>Hallazgo</w:t>
      </w:r>
      <w:r w:rsidRPr="009C60E0">
        <w:rPr>
          <w:rFonts w:cs="Arial"/>
          <w:i/>
          <w:szCs w:val="24"/>
        </w:rPr>
        <w:t>: “En la Auditoría Regular a la Secretaría General de la Alca</w:t>
      </w:r>
      <w:r w:rsidRPr="009C60E0">
        <w:rPr>
          <w:rFonts w:cs="Arial"/>
          <w:i/>
          <w:szCs w:val="24"/>
        </w:rPr>
        <w:t xml:space="preserve">ldía Mayor de Bogotá, se evidenció que el traslado de hallazgos a la Personería realizado mediante memorando No. 2-2014-14671 del 18/09/2014, se efectuó en forma inoportuna, contraviniendo la R.R. No. 055 de 2013, Procedimiento para elaborar el Informe de </w:t>
      </w:r>
      <w:r w:rsidRPr="009C60E0">
        <w:rPr>
          <w:rFonts w:cs="Arial"/>
          <w:i/>
          <w:szCs w:val="24"/>
        </w:rPr>
        <w:t>auditoría, actividad 11, respecto a la entrega del informe final realizada a través de memorando No. 2-2014-13963 de 04/09/2014”.</w:t>
      </w: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 xml:space="preserve">Acción: </w:t>
      </w:r>
      <w:r w:rsidRPr="009C60E0">
        <w:rPr>
          <w:rFonts w:cs="Arial"/>
          <w:szCs w:val="24"/>
        </w:rPr>
        <w:t>“Verificar el cumplimiento en el traslado de los hallazgos a las instancias pertinentes de conformidad con los términ</w:t>
      </w:r>
      <w:r w:rsidRPr="009C60E0">
        <w:rPr>
          <w:rFonts w:cs="Arial"/>
          <w:szCs w:val="24"/>
        </w:rPr>
        <w:t>os establecidos en el procedimiento”.</w:t>
      </w: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 Dirección Sector Gobierno: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La Dirección Sector Gobierno entre el 01 de julio al 20 de septiembre de 2015, finalizó cinco (5) auditorias,  las cuales dentro de las fechas establecidas por el procedimiento </w:t>
      </w:r>
      <w:r w:rsidRPr="009C60E0">
        <w:rPr>
          <w:rFonts w:cs="Arial"/>
          <w:szCs w:val="24"/>
        </w:rPr>
        <w:t xml:space="preserve">se realizaron los traslados a las instancias pertinentes. Para seguimiento y verificación del cumplimento de esta acción fueron verificadas las siguientes auditorias. </w:t>
      </w: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>Auditoría de Desempeño - Fondo Vigilancia y Seguridad: Traslado de hallazgo a la Persone</w:t>
      </w:r>
      <w:r w:rsidRPr="009C60E0">
        <w:rPr>
          <w:rFonts w:cs="Arial"/>
          <w:sz w:val="22"/>
          <w:szCs w:val="24"/>
        </w:rPr>
        <w:t xml:space="preserve">ría. Radicado: 2-2015-17974 del 2015-09-10.                                         </w:t>
      </w: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 xml:space="preserve">Auditoría de Desempeño - Fondo Vigilancia y Seguridad: Traslado de hallazgo a la Personería. Radicado: 2-2015-17333 del 2015-09-01.                                        </w:t>
      </w:r>
      <w:r w:rsidRPr="009C60E0">
        <w:rPr>
          <w:rFonts w:cs="Arial"/>
          <w:sz w:val="22"/>
          <w:szCs w:val="24"/>
        </w:rPr>
        <w:t xml:space="preserve">  </w:t>
      </w:r>
    </w:p>
    <w:p w:rsidR="009C60E0" w:rsidRDefault="00ED5E7A" w:rsidP="009C60E0">
      <w:pPr>
        <w:ind w:left="720"/>
        <w:contextualSpacing/>
        <w:jc w:val="both"/>
        <w:rPr>
          <w:rFonts w:cs="Arial"/>
          <w:sz w:val="22"/>
          <w:szCs w:val="24"/>
        </w:rPr>
      </w:pP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 xml:space="preserve">Auditoría de Desempeño - Unidad Especial Cuerpo Oficial de Bomberos. Traslado de hallazgo a la Personería. Radicado: 2-2015-16425 del 2015-08-19.       </w:t>
      </w: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>Auditoría de Regularidad- Subdirección de Fiscalización Gestión Pública y Equidad de Género: Trasla</w:t>
      </w:r>
      <w:r w:rsidRPr="009C60E0">
        <w:rPr>
          <w:rFonts w:cs="Arial"/>
          <w:sz w:val="22"/>
          <w:szCs w:val="24"/>
        </w:rPr>
        <w:t xml:space="preserve">do de hallazgo a la Personería. Radicado: 2-2015-16203 del 2015-08-13.                                                                                                                       </w:t>
      </w: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 xml:space="preserve">Auditoría de  Regularidad- Veeduría Distrital: Traslado de hallazgo a la Personería. Radicado: 2-2015-13517 del 2015-07-07.                                                        </w:t>
      </w:r>
    </w:p>
    <w:p w:rsidR="009C60E0" w:rsidRPr="009C60E0" w:rsidRDefault="00ED5E7A" w:rsidP="009C60E0">
      <w:pPr>
        <w:numPr>
          <w:ilvl w:val="0"/>
          <w:numId w:val="6"/>
        </w:numPr>
        <w:contextualSpacing/>
        <w:jc w:val="both"/>
        <w:rPr>
          <w:rFonts w:cs="Arial"/>
          <w:sz w:val="22"/>
          <w:szCs w:val="24"/>
        </w:rPr>
      </w:pPr>
      <w:r w:rsidRPr="009C60E0">
        <w:rPr>
          <w:rFonts w:cs="Arial"/>
          <w:sz w:val="22"/>
          <w:szCs w:val="24"/>
        </w:rPr>
        <w:t>Auditoría de Desempeño - Secretaria Distrital de Gobierno: Traslado de halla</w:t>
      </w:r>
      <w:r w:rsidRPr="009C60E0">
        <w:rPr>
          <w:rFonts w:cs="Arial"/>
          <w:sz w:val="22"/>
          <w:szCs w:val="24"/>
        </w:rPr>
        <w:t xml:space="preserve">zgo a la Personería. Radicado: 2-2015-13458 del 2015-07-06.                                                                                                         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Nueve (9) hallazgos trasladados a la Dirección de Responsabilidad Fiscal, con memorandos: </w:t>
      </w:r>
      <w:r w:rsidRPr="009C60E0">
        <w:rPr>
          <w:rFonts w:cs="Arial"/>
          <w:szCs w:val="24"/>
        </w:rPr>
        <w:t>(</w:t>
      </w:r>
      <w:r w:rsidRPr="009C60E0">
        <w:rPr>
          <w:rFonts w:cs="Arial"/>
          <w:b/>
          <w:szCs w:val="24"/>
        </w:rPr>
        <w:t>FVS</w:t>
      </w:r>
      <w:r w:rsidRPr="009C60E0">
        <w:rPr>
          <w:rFonts w:cs="Arial"/>
          <w:szCs w:val="24"/>
        </w:rPr>
        <w:t>) 3-2015-19064, 3-2015-19066, 3-2015-19069, 3-2015-19101, 3-2015-19102; (</w:t>
      </w:r>
      <w:r w:rsidRPr="009C60E0">
        <w:rPr>
          <w:rFonts w:cs="Arial"/>
          <w:b/>
          <w:szCs w:val="24"/>
        </w:rPr>
        <w:t>FVS</w:t>
      </w:r>
      <w:r w:rsidRPr="009C60E0">
        <w:rPr>
          <w:rFonts w:cs="Arial"/>
          <w:szCs w:val="24"/>
        </w:rPr>
        <w:t>) 3-2015-18269; (</w:t>
      </w:r>
      <w:r w:rsidRPr="009C60E0">
        <w:rPr>
          <w:rFonts w:cs="Arial"/>
          <w:b/>
          <w:szCs w:val="24"/>
        </w:rPr>
        <w:t>UAECOBB</w:t>
      </w:r>
      <w:r w:rsidRPr="009C60E0">
        <w:rPr>
          <w:rFonts w:cs="Arial"/>
          <w:szCs w:val="24"/>
        </w:rPr>
        <w:t>) 3-2015-17026, 3-2015-17028 y (</w:t>
      </w:r>
      <w:r w:rsidRPr="009C60E0">
        <w:rPr>
          <w:rFonts w:cs="Arial"/>
          <w:b/>
          <w:sz w:val="20"/>
        </w:rPr>
        <w:t>PERSONERIA</w:t>
      </w:r>
      <w:r w:rsidRPr="009C60E0">
        <w:rPr>
          <w:rFonts w:cs="Arial"/>
          <w:szCs w:val="24"/>
        </w:rPr>
        <w:t>) 3-2015-16756.  El Hallazgo continúa abierto para seguimiento.</w:t>
      </w: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Origen 6 - Auditoría Fiscal.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numPr>
          <w:ilvl w:val="0"/>
          <w:numId w:val="1"/>
        </w:numPr>
        <w:contextualSpacing/>
        <w:jc w:val="both"/>
        <w:rPr>
          <w:rFonts w:cs="Arial"/>
          <w:szCs w:val="24"/>
        </w:rPr>
      </w:pPr>
      <w:r w:rsidRPr="009C60E0">
        <w:rPr>
          <w:rFonts w:cs="Arial"/>
          <w:b/>
          <w:i/>
          <w:szCs w:val="24"/>
        </w:rPr>
        <w:t>Hallazgo</w:t>
      </w:r>
      <w:r w:rsidRPr="009C60E0">
        <w:rPr>
          <w:rFonts w:cs="Arial"/>
          <w:i/>
          <w:szCs w:val="24"/>
        </w:rPr>
        <w:t xml:space="preserve">: “Pronunciamiento problemáticas Proceso de Responsabilidad Fiscal por desgaste administrativo originado en la revisión y devolución de hallazgos fiscales y cargas laborales”. </w:t>
      </w:r>
    </w:p>
    <w:p w:rsidR="009C60E0" w:rsidRPr="009C60E0" w:rsidRDefault="00ED5E7A" w:rsidP="009C60E0">
      <w:pPr>
        <w:ind w:left="360"/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 xml:space="preserve">Acción: </w:t>
      </w:r>
      <w:r w:rsidRPr="009C60E0">
        <w:rPr>
          <w:rFonts w:cs="Arial"/>
          <w:szCs w:val="24"/>
        </w:rPr>
        <w:t>“Crear el Comité de Aseguramiento de la Calidad mediante Resolución Re</w:t>
      </w:r>
      <w:r w:rsidRPr="009C60E0">
        <w:rPr>
          <w:rFonts w:cs="Arial"/>
          <w:szCs w:val="24"/>
        </w:rPr>
        <w:t>glamentaria y para su seguimiento se tomaran muestras de forma selectiva”</w:t>
      </w: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Verificación: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 xml:space="preserve">Se verificó la publicación de  la Resolución Reglamentaria No. 018 del 10 de junio de 2015 </w:t>
      </w:r>
      <w:r w:rsidRPr="009C60E0">
        <w:rPr>
          <w:rFonts w:cs="Arial"/>
          <w:i/>
          <w:szCs w:val="24"/>
        </w:rPr>
        <w:t>" Por la cual se crea y se reglamenta el comité de aseguramiento de la cal</w:t>
      </w:r>
      <w:r w:rsidRPr="009C60E0">
        <w:rPr>
          <w:rFonts w:cs="Arial"/>
          <w:i/>
          <w:szCs w:val="24"/>
        </w:rPr>
        <w:t>idad del proceso de vigilancia y control a la gestión fiscal en la Contraloría de Bogotá D.C.  y se dictan otras disposiciones</w:t>
      </w:r>
      <w:r w:rsidRPr="009C60E0">
        <w:rPr>
          <w:rFonts w:cs="Arial"/>
          <w:szCs w:val="24"/>
        </w:rPr>
        <w:t>"; con el objetivo principal de asegurar el cumplimiento de los requisitos y la calidad de los productos, así como el mejoramiento</w:t>
      </w:r>
      <w:r w:rsidRPr="009C60E0">
        <w:rPr>
          <w:rFonts w:cs="Arial"/>
          <w:szCs w:val="24"/>
        </w:rPr>
        <w:t xml:space="preserve"> de los resultados del PVCGF.  Se verificó, mediante Acta No.3, del 10 de septiembre de 2015 - Equipo de Gestores del PVCGF; el Análisis de causa a través de la metodología de lluvia de ideas.   Se han realizado tres comités (</w:t>
      </w:r>
      <w:r w:rsidRPr="009C60E0">
        <w:rPr>
          <w:rFonts w:cs="Arial"/>
          <w:sz w:val="20"/>
        </w:rPr>
        <w:t xml:space="preserve">COMITÈ DE ASEGURAMIENTO DE LA </w:t>
      </w:r>
      <w:r w:rsidRPr="009C60E0">
        <w:rPr>
          <w:rFonts w:cs="Arial"/>
          <w:sz w:val="20"/>
        </w:rPr>
        <w:t>CALIDAD DEL PROCESO DE VIGILANCIA Y CONTROL A LA GESTIÒN FISCAL</w:t>
      </w:r>
      <w:r w:rsidRPr="009C60E0">
        <w:rPr>
          <w:rFonts w:cs="Arial"/>
          <w:szCs w:val="24"/>
        </w:rPr>
        <w:t>), como consta en las actas que reposan en la Dirección de Planeación. Acta No.001 del 23 de julio de 2015; Acta No.002 del 18 de agosto de 2015; Acta No.003 del 15 de septiembre. Se sugerirá a</w:t>
      </w:r>
      <w:r w:rsidRPr="009C60E0">
        <w:rPr>
          <w:rFonts w:cs="Arial"/>
          <w:szCs w:val="24"/>
        </w:rPr>
        <w:t xml:space="preserve"> la AF el cierre del hallazgo por cumplimiento de la acción.</w:t>
      </w:r>
    </w:p>
    <w:p w:rsidR="009C60E0" w:rsidRDefault="00ED5E7A" w:rsidP="009C60E0">
      <w:pPr>
        <w:jc w:val="both"/>
        <w:rPr>
          <w:rFonts w:cs="Arial"/>
          <w:i/>
          <w:szCs w:val="24"/>
        </w:rPr>
      </w:pP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9C60E0">
        <w:rPr>
          <w:rFonts w:cs="Arial"/>
          <w:i/>
          <w:szCs w:val="24"/>
        </w:rPr>
        <w:lastRenderedPageBreak/>
        <w:t xml:space="preserve">     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/>
          <w:sz w:val="22"/>
          <w:szCs w:val="22"/>
        </w:rPr>
      </w:pPr>
      <w:r w:rsidRPr="009C60E0">
        <w:rPr>
          <w:rFonts w:cs="Arial"/>
          <w:b/>
          <w:color w:val="000000"/>
          <w:sz w:val="22"/>
          <w:szCs w:val="22"/>
        </w:rPr>
        <w:t>SEGUIMIENTO AL PLAN DE EVALUACIÓN Y SEGUIMIENTO DE LOS RIESGOS.</w:t>
      </w: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9C60E0" w:rsidRPr="009C60E0" w:rsidRDefault="00ED5E7A" w:rsidP="009C60E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Tabla 2</w:t>
      </w:r>
      <w:r>
        <w:rPr>
          <w:rFonts w:cs="Arial"/>
          <w:b/>
          <w:szCs w:val="24"/>
        </w:rPr>
        <w:t xml:space="preserve"> - </w:t>
      </w:r>
      <w:r w:rsidRPr="009C60E0">
        <w:rPr>
          <w:rFonts w:cs="Arial"/>
          <w:b/>
          <w:szCs w:val="24"/>
        </w:rPr>
        <w:t>Resultado seguimiento de Riesgos.</w:t>
      </w:r>
    </w:p>
    <w:p w:rsidR="009C60E0" w:rsidRPr="009C60E0" w:rsidRDefault="00ED5E7A" w:rsidP="009C60E0">
      <w:pPr>
        <w:jc w:val="both"/>
        <w:rPr>
          <w:rFonts w:cs="Arial"/>
          <w:i/>
          <w:sz w:val="22"/>
          <w:szCs w:val="24"/>
        </w:rPr>
      </w:pPr>
    </w:p>
    <w:tbl>
      <w:tblPr>
        <w:tblStyle w:val="Tablaconcuadrcula1"/>
        <w:tblW w:w="8270" w:type="dxa"/>
        <w:tblLook w:val="04A0" w:firstRow="1" w:lastRow="0" w:firstColumn="1" w:lastColumn="0" w:noHBand="0" w:noVBand="1"/>
      </w:tblPr>
      <w:tblGrid>
        <w:gridCol w:w="2830"/>
        <w:gridCol w:w="1418"/>
        <w:gridCol w:w="1429"/>
        <w:gridCol w:w="2593"/>
      </w:tblGrid>
      <w:tr w:rsidR="00401406" w:rsidTr="00B755F1">
        <w:trPr>
          <w:trHeight w:val="278"/>
        </w:trPr>
        <w:tc>
          <w:tcPr>
            <w:tcW w:w="2830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20"/>
              </w:rPr>
            </w:pPr>
            <w:r w:rsidRPr="009C60E0">
              <w:rPr>
                <w:rFonts w:cs="Arial"/>
                <w:b/>
                <w:sz w:val="20"/>
              </w:rPr>
              <w:t>ORIGEN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i/>
                <w:sz w:val="20"/>
              </w:rPr>
            </w:pPr>
            <w:r w:rsidRPr="009C60E0">
              <w:rPr>
                <w:rFonts w:cs="Arial"/>
                <w:b/>
                <w:i/>
                <w:sz w:val="20"/>
              </w:rPr>
              <w:t>ABIERTOS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i/>
                <w:sz w:val="20"/>
              </w:rPr>
            </w:pPr>
            <w:r w:rsidRPr="009C60E0">
              <w:rPr>
                <w:rFonts w:cs="Arial"/>
                <w:b/>
                <w:i/>
                <w:sz w:val="20"/>
              </w:rPr>
              <w:t>MITIGADOS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i/>
                <w:sz w:val="20"/>
              </w:rPr>
            </w:pPr>
            <w:r w:rsidRPr="009C60E0">
              <w:rPr>
                <w:rFonts w:cs="Arial"/>
                <w:b/>
                <w:i/>
                <w:sz w:val="20"/>
              </w:rPr>
              <w:t>TOTAL ABIERTO + MITIGADOS</w:t>
            </w:r>
          </w:p>
        </w:tc>
      </w:tr>
      <w:tr w:rsidR="00401406" w:rsidTr="009C60E0">
        <w:trPr>
          <w:trHeight w:val="70"/>
        </w:trPr>
        <w:tc>
          <w:tcPr>
            <w:tcW w:w="2830" w:type="dxa"/>
          </w:tcPr>
          <w:p w:rsidR="009C60E0" w:rsidRPr="009C60E0" w:rsidRDefault="00ED5E7A" w:rsidP="009C60E0">
            <w:pPr>
              <w:jc w:val="both"/>
              <w:rPr>
                <w:rFonts w:cs="Arial"/>
                <w:i/>
                <w:sz w:val="20"/>
              </w:rPr>
            </w:pPr>
            <w:r w:rsidRPr="009C60E0">
              <w:rPr>
                <w:rFonts w:cs="Arial"/>
                <w:i/>
                <w:sz w:val="20"/>
              </w:rPr>
              <w:t>1.2 RIESGO CORRUPCIÓN</w:t>
            </w:r>
          </w:p>
        </w:tc>
        <w:tc>
          <w:tcPr>
            <w:tcW w:w="1418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2</w:t>
            </w:r>
          </w:p>
        </w:tc>
        <w:tc>
          <w:tcPr>
            <w:tcW w:w="1429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0</w:t>
            </w:r>
          </w:p>
        </w:tc>
        <w:tc>
          <w:tcPr>
            <w:tcW w:w="2593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2</w:t>
            </w:r>
          </w:p>
        </w:tc>
      </w:tr>
      <w:tr w:rsidR="00401406" w:rsidTr="00B755F1">
        <w:trPr>
          <w:trHeight w:val="278"/>
        </w:trPr>
        <w:tc>
          <w:tcPr>
            <w:tcW w:w="2830" w:type="dxa"/>
          </w:tcPr>
          <w:p w:rsidR="009C60E0" w:rsidRPr="009C60E0" w:rsidRDefault="00ED5E7A" w:rsidP="009C60E0">
            <w:pPr>
              <w:jc w:val="both"/>
              <w:rPr>
                <w:rFonts w:cs="Arial"/>
                <w:i/>
                <w:sz w:val="20"/>
              </w:rPr>
            </w:pPr>
            <w:r w:rsidRPr="009C60E0">
              <w:rPr>
                <w:rFonts w:cs="Arial"/>
                <w:i/>
                <w:sz w:val="20"/>
              </w:rPr>
              <w:t>1.4 RIESGO ESTRATÉGICO</w:t>
            </w:r>
          </w:p>
        </w:tc>
        <w:tc>
          <w:tcPr>
            <w:tcW w:w="1418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1</w:t>
            </w:r>
          </w:p>
        </w:tc>
        <w:tc>
          <w:tcPr>
            <w:tcW w:w="1429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0</w:t>
            </w:r>
          </w:p>
        </w:tc>
        <w:tc>
          <w:tcPr>
            <w:tcW w:w="2593" w:type="dxa"/>
          </w:tcPr>
          <w:p w:rsidR="009C60E0" w:rsidRPr="009C60E0" w:rsidRDefault="00ED5E7A" w:rsidP="009C60E0">
            <w:pPr>
              <w:jc w:val="center"/>
              <w:rPr>
                <w:rFonts w:cs="Arial"/>
                <w:sz w:val="20"/>
              </w:rPr>
            </w:pPr>
            <w:r w:rsidRPr="009C60E0">
              <w:rPr>
                <w:rFonts w:cs="Arial"/>
                <w:sz w:val="20"/>
              </w:rPr>
              <w:t>1</w:t>
            </w:r>
          </w:p>
        </w:tc>
      </w:tr>
      <w:tr w:rsidR="00401406" w:rsidTr="00B755F1">
        <w:trPr>
          <w:trHeight w:val="145"/>
        </w:trPr>
        <w:tc>
          <w:tcPr>
            <w:tcW w:w="2830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20"/>
              </w:rPr>
            </w:pPr>
            <w:r w:rsidRPr="009C60E0">
              <w:rPr>
                <w:rFonts w:cs="Arial"/>
                <w:b/>
                <w:sz w:val="20"/>
              </w:rPr>
              <w:t>TOTAL GENERAL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20"/>
              </w:rPr>
            </w:pPr>
            <w:r w:rsidRPr="009C60E0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20"/>
              </w:rPr>
            </w:pPr>
            <w:r w:rsidRPr="009C60E0">
              <w:rPr>
                <w:rFonts w:cs="Arial"/>
                <w:b/>
                <w:sz w:val="20"/>
              </w:rPr>
              <w:t>0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9C60E0" w:rsidRPr="009C60E0" w:rsidRDefault="00ED5E7A" w:rsidP="009C60E0">
            <w:pPr>
              <w:jc w:val="center"/>
              <w:rPr>
                <w:rFonts w:cs="Arial"/>
                <w:b/>
                <w:sz w:val="20"/>
              </w:rPr>
            </w:pPr>
            <w:r w:rsidRPr="009C60E0">
              <w:rPr>
                <w:rFonts w:cs="Arial"/>
                <w:b/>
                <w:sz w:val="20"/>
              </w:rPr>
              <w:t>3</w:t>
            </w:r>
          </w:p>
        </w:tc>
      </w:tr>
    </w:tbl>
    <w:p w:rsidR="009C60E0" w:rsidRPr="009C60E0" w:rsidRDefault="00ED5E7A" w:rsidP="009C60E0">
      <w:pPr>
        <w:rPr>
          <w:rFonts w:cs="Arial"/>
          <w:b/>
          <w:i/>
          <w:sz w:val="16"/>
          <w:szCs w:val="16"/>
        </w:rPr>
      </w:pPr>
      <w:r w:rsidRPr="009C60E0">
        <w:rPr>
          <w:rFonts w:cs="Arial"/>
          <w:b/>
          <w:i/>
          <w:sz w:val="16"/>
          <w:szCs w:val="16"/>
        </w:rPr>
        <w:t xml:space="preserve">Fuente: Reporte Anexo 1 PM -  Proceso de Vigilancia y Control a la Gestión Fiscal  </w:t>
      </w:r>
    </w:p>
    <w:p w:rsidR="009C60E0" w:rsidRPr="009C60E0" w:rsidRDefault="00ED5E7A" w:rsidP="009C60E0">
      <w:pPr>
        <w:jc w:val="both"/>
        <w:rPr>
          <w:rFonts w:cs="Arial"/>
          <w:i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b/>
          <w:color w:val="000000"/>
          <w:szCs w:val="24"/>
        </w:rPr>
      </w:pPr>
      <w:r w:rsidRPr="009C60E0">
        <w:rPr>
          <w:rFonts w:cs="Arial"/>
          <w:b/>
          <w:szCs w:val="24"/>
        </w:rPr>
        <w:t xml:space="preserve"> Origen 1.2. – Riesgos de Corrupción.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b/>
          <w:color w:val="000000"/>
          <w:szCs w:val="24"/>
        </w:rPr>
      </w:pPr>
    </w:p>
    <w:p w:rsidR="009C60E0" w:rsidRPr="009C60E0" w:rsidRDefault="00ED5E7A" w:rsidP="009C60E0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cs="Arial"/>
          <w:i/>
          <w:color w:val="000000"/>
          <w:szCs w:val="24"/>
        </w:rPr>
      </w:pPr>
      <w:r w:rsidRPr="009C60E0">
        <w:rPr>
          <w:rFonts w:cs="Arial"/>
          <w:b/>
          <w:color w:val="000000"/>
          <w:szCs w:val="24"/>
        </w:rPr>
        <w:t>Descripción del Riesgo: “</w:t>
      </w:r>
      <w:r w:rsidRPr="009C60E0">
        <w:rPr>
          <w:rFonts w:cs="Arial"/>
          <w:i/>
          <w:color w:val="000000"/>
          <w:szCs w:val="24"/>
        </w:rPr>
        <w:t xml:space="preserve">Omitir información en el desarrollo de cualquier </w:t>
      </w:r>
      <w:r w:rsidRPr="009C60E0">
        <w:rPr>
          <w:rFonts w:cs="Arial"/>
          <w:i/>
          <w:color w:val="000000"/>
          <w:szCs w:val="24"/>
        </w:rPr>
        <w:t>actuación de control fiscal, que permita direccionar resultados para favorecer a terceros o particulares”.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i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 xml:space="preserve">Acción 1: </w:t>
      </w:r>
      <w:r w:rsidRPr="009C60E0">
        <w:rPr>
          <w:rFonts w:cs="Arial"/>
          <w:szCs w:val="24"/>
        </w:rPr>
        <w:t>Rotación de funcionarios que realizan labores de auditoria.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szCs w:val="24"/>
        </w:rPr>
      </w:pPr>
    </w:p>
    <w:p w:rsidR="009C60E0" w:rsidRPr="009C60E0" w:rsidRDefault="00ED5E7A" w:rsidP="009C60E0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cs="Arial"/>
          <w:i/>
          <w:color w:val="000000"/>
          <w:szCs w:val="24"/>
        </w:rPr>
      </w:pPr>
      <w:r w:rsidRPr="009C60E0">
        <w:rPr>
          <w:rFonts w:cs="Arial"/>
          <w:b/>
          <w:color w:val="000000"/>
          <w:szCs w:val="24"/>
        </w:rPr>
        <w:t>Descripción del Riesgo: “</w:t>
      </w:r>
      <w:r w:rsidRPr="009C60E0">
        <w:rPr>
          <w:rFonts w:cs="Arial"/>
          <w:i/>
          <w:color w:val="000000"/>
          <w:szCs w:val="24"/>
        </w:rPr>
        <w:t>Desarrollar actuaciones de control fiscal no autoriz</w:t>
      </w:r>
      <w:r w:rsidRPr="009C60E0">
        <w:rPr>
          <w:rFonts w:cs="Arial"/>
          <w:i/>
          <w:color w:val="000000"/>
          <w:szCs w:val="24"/>
        </w:rPr>
        <w:t>adas por el Responsable del Proceso o el Contralor de Bogotá D.C.”</w:t>
      </w:r>
    </w:p>
    <w:p w:rsidR="009C60E0" w:rsidRPr="009C60E0" w:rsidRDefault="00ED5E7A" w:rsidP="009C60E0">
      <w:pPr>
        <w:tabs>
          <w:tab w:val="left" w:pos="1440"/>
        </w:tabs>
        <w:ind w:left="720"/>
        <w:contextualSpacing/>
        <w:jc w:val="both"/>
        <w:rPr>
          <w:rFonts w:cs="Arial"/>
          <w:i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 xml:space="preserve">Acción 2: </w:t>
      </w:r>
      <w:r w:rsidRPr="009C60E0">
        <w:rPr>
          <w:rFonts w:cs="Arial"/>
          <w:szCs w:val="24"/>
        </w:rPr>
        <w:t>Desarrollar el 100% de las auditorias determinada en el PAD vigente y las visitas de control fiscal comunicadas o las asignadas por el señor Contralor.</w:t>
      </w:r>
    </w:p>
    <w:p w:rsidR="009C60E0" w:rsidRPr="009C60E0" w:rsidRDefault="00ED5E7A" w:rsidP="009C60E0">
      <w:pPr>
        <w:tabs>
          <w:tab w:val="left" w:pos="1440"/>
        </w:tabs>
        <w:ind w:left="720"/>
        <w:contextualSpacing/>
        <w:jc w:val="both"/>
        <w:rPr>
          <w:rFonts w:cs="Arial"/>
          <w:i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 xml:space="preserve"> Origen 1.4. – Riesgos Estratégicos.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cs="Arial"/>
          <w:color w:val="000000"/>
          <w:szCs w:val="24"/>
        </w:rPr>
      </w:pPr>
      <w:r w:rsidRPr="009C60E0">
        <w:rPr>
          <w:rFonts w:cs="Arial"/>
          <w:b/>
          <w:color w:val="000000"/>
          <w:szCs w:val="24"/>
        </w:rPr>
        <w:t>Descripción del Riesgo: “</w:t>
      </w:r>
      <w:r w:rsidRPr="009C60E0">
        <w:rPr>
          <w:rFonts w:cs="Arial"/>
          <w:i/>
          <w:color w:val="000000"/>
          <w:szCs w:val="24"/>
        </w:rPr>
        <w:t>Posible incumplimiento en la presentación de los productos (Informes, funciones de advertencia), en cuanto a la forma, fondo y plazos determinados en los procedimientos y demás normas expedidas</w:t>
      </w:r>
      <w:r w:rsidRPr="009C60E0">
        <w:rPr>
          <w:rFonts w:cs="Arial"/>
          <w:i/>
          <w:color w:val="000000"/>
          <w:szCs w:val="24"/>
        </w:rPr>
        <w:t xml:space="preserve"> por el Contralor de Bogotá”.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szCs w:val="24"/>
        </w:rPr>
      </w:pPr>
      <w:r w:rsidRPr="009C60E0">
        <w:rPr>
          <w:rFonts w:cs="Arial"/>
          <w:b/>
          <w:szCs w:val="24"/>
        </w:rPr>
        <w:t xml:space="preserve">Acción: </w:t>
      </w:r>
      <w:r w:rsidRPr="009C60E0">
        <w:rPr>
          <w:rFonts w:cs="Arial"/>
          <w:szCs w:val="24"/>
        </w:rPr>
        <w:t>Rigurosa aplicación de los procedimientos, en especial los que tienen que ver con la verificación de la caracterización de cada producto previo a su entrega.</w:t>
      </w: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</w:p>
    <w:p w:rsidR="009C60E0" w:rsidRPr="009C60E0" w:rsidRDefault="00ED5E7A" w:rsidP="009C60E0">
      <w:pPr>
        <w:jc w:val="both"/>
        <w:rPr>
          <w:rFonts w:cs="Arial"/>
          <w:b/>
          <w:szCs w:val="24"/>
        </w:rPr>
      </w:pPr>
      <w:r w:rsidRPr="009C60E0">
        <w:rPr>
          <w:rFonts w:cs="Arial"/>
          <w:b/>
          <w:szCs w:val="24"/>
        </w:rPr>
        <w:t>Verificación a septiembre 2015: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La verificación para cada</w:t>
      </w:r>
      <w:r w:rsidRPr="009C60E0">
        <w:rPr>
          <w:rFonts w:cs="Arial"/>
          <w:szCs w:val="24"/>
        </w:rPr>
        <w:t xml:space="preserve"> uno de los riesgos fue realizada en las diez (10) Direcciones Sectoriales de Fiscalización y en la Dirección de Redacción Inmediata las cuales integran el Proceso de Vigilancia y Control a la Gestión Fiscal.</w:t>
      </w: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Los Riesgos estratégicos y de corrupción d</w:t>
      </w:r>
      <w:r w:rsidRPr="009C60E0">
        <w:rPr>
          <w:rFonts w:cs="Arial"/>
          <w:szCs w:val="24"/>
        </w:rPr>
        <w:t xml:space="preserve">eben continuar abiertos para monitoreo permanente teniendo en cuenta que dentro del programa de ejecución del Plan de Mejoramiento, reporte  </w:t>
      </w:r>
      <w:r w:rsidRPr="009C60E0">
        <w:rPr>
          <w:rFonts w:cs="Arial"/>
          <w:color w:val="000000"/>
          <w:szCs w:val="24"/>
        </w:rPr>
        <w:t xml:space="preserve">Anexo 1 - Acciones Correctivas y de Mejora, </w:t>
      </w:r>
      <w:r w:rsidRPr="009C60E0">
        <w:rPr>
          <w:rFonts w:cs="Arial"/>
          <w:szCs w:val="24"/>
        </w:rPr>
        <w:t xml:space="preserve"> esta acción preventiva tiene como fecha final el 31 de diciembre de 20</w:t>
      </w:r>
      <w:r w:rsidRPr="009C60E0">
        <w:rPr>
          <w:rFonts w:cs="Arial"/>
          <w:szCs w:val="24"/>
        </w:rPr>
        <w:t>15.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b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b/>
          <w:color w:val="000000"/>
          <w:szCs w:val="24"/>
        </w:rPr>
      </w:pPr>
      <w:r w:rsidRPr="009C60E0">
        <w:rPr>
          <w:rFonts w:cs="Arial"/>
          <w:b/>
          <w:color w:val="000000"/>
          <w:szCs w:val="24"/>
        </w:rPr>
        <w:t>RECOMENDACIONES GENERALES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numPr>
          <w:ilvl w:val="0"/>
          <w:numId w:val="7"/>
        </w:numPr>
        <w:tabs>
          <w:tab w:val="left" w:pos="1440"/>
        </w:tabs>
        <w:ind w:left="36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 xml:space="preserve">Socializar el resultado del seguimiento al Plan de Mejoramiento con las dependencias que integran el Proceso de Vigilancia y Control a la Gestión Fiscal por parte del responsable del mismo.  </w:t>
      </w:r>
    </w:p>
    <w:p w:rsidR="009C60E0" w:rsidRPr="009C60E0" w:rsidRDefault="00ED5E7A" w:rsidP="009C60E0">
      <w:pPr>
        <w:contextualSpacing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 xml:space="preserve">Continuar con los controles y </w:t>
      </w:r>
      <w:r w:rsidRPr="009C60E0">
        <w:rPr>
          <w:rFonts w:cs="Arial"/>
          <w:color w:val="000000"/>
          <w:szCs w:val="24"/>
        </w:rPr>
        <w:t>seguimientos permanentes para cada una de las actividades programadas en el Plan de mejoramiento, con el fin de subsanar las falencias encontradas y las observaciones realizadas por los diferentes entes de control.</w:t>
      </w:r>
    </w:p>
    <w:p w:rsidR="009C60E0" w:rsidRPr="009C60E0" w:rsidRDefault="00ED5E7A" w:rsidP="009C60E0">
      <w:pPr>
        <w:contextualSpacing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>Es importante que la Dirección de Planea</w:t>
      </w:r>
      <w:r w:rsidRPr="009C60E0">
        <w:rPr>
          <w:rFonts w:cs="Arial"/>
          <w:color w:val="000000"/>
          <w:szCs w:val="24"/>
        </w:rPr>
        <w:t xml:space="preserve">ción, este pendiente del cierre definitivo que realice la Auditoria Fiscal y la Auditoria Externa entes certificadores, con el propósito de actualizar el Plan de Mejoramiento. </w:t>
      </w: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color w:val="000000"/>
          <w:szCs w:val="24"/>
        </w:rPr>
      </w:pPr>
    </w:p>
    <w:p w:rsidR="009C60E0" w:rsidRPr="009C60E0" w:rsidRDefault="00ED5E7A" w:rsidP="009C60E0">
      <w:pPr>
        <w:tabs>
          <w:tab w:val="left" w:pos="1440"/>
        </w:tabs>
        <w:jc w:val="both"/>
        <w:rPr>
          <w:rFonts w:cs="Arial"/>
          <w:color w:val="000000"/>
          <w:szCs w:val="24"/>
        </w:rPr>
      </w:pPr>
      <w:r w:rsidRPr="009C60E0">
        <w:rPr>
          <w:rFonts w:cs="Arial"/>
          <w:color w:val="000000"/>
          <w:szCs w:val="24"/>
        </w:rPr>
        <w:t xml:space="preserve"> </w:t>
      </w:r>
    </w:p>
    <w:p w:rsidR="009C60E0" w:rsidRDefault="00ED5E7A" w:rsidP="009C60E0">
      <w:pPr>
        <w:jc w:val="both"/>
        <w:rPr>
          <w:rFonts w:cs="Arial"/>
          <w:szCs w:val="24"/>
        </w:rPr>
      </w:pPr>
      <w:r w:rsidRPr="009C60E0">
        <w:rPr>
          <w:rFonts w:cs="Arial"/>
          <w:szCs w:val="24"/>
        </w:rPr>
        <w:t>Cordialmente,</w:t>
      </w:r>
    </w:p>
    <w:p w:rsidR="00BD1C93" w:rsidRDefault="00ED5E7A" w:rsidP="009C60E0">
      <w:pPr>
        <w:jc w:val="both"/>
        <w:rPr>
          <w:rFonts w:cs="Arial"/>
          <w:szCs w:val="24"/>
        </w:rPr>
      </w:pPr>
    </w:p>
    <w:p w:rsidR="00BD1C93" w:rsidRPr="009C60E0" w:rsidRDefault="00ED5E7A" w:rsidP="009C60E0">
      <w:pPr>
        <w:jc w:val="both"/>
        <w:rPr>
          <w:rFonts w:cs="Arial"/>
          <w:szCs w:val="24"/>
        </w:rPr>
      </w:pPr>
    </w:p>
    <w:p w:rsidR="009C60E0" w:rsidRPr="009C60E0" w:rsidRDefault="00ED5E7A" w:rsidP="009C60E0">
      <w:pPr>
        <w:jc w:val="both"/>
        <w:rPr>
          <w:rFonts w:cs="Arial"/>
          <w:szCs w:val="24"/>
        </w:rPr>
      </w:pPr>
    </w:p>
    <w:p w:rsidR="00EC36C7" w:rsidRDefault="00ED5E7A" w:rsidP="006836EB">
      <w:pPr>
        <w:outlineLvl w:val="0"/>
        <w:rPr>
          <w:rFonts w:cs="Arial"/>
          <w:szCs w:val="24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401406" w:rsidTr="00EC36C7">
        <w:trPr>
          <w:trHeight w:val="988"/>
        </w:trPr>
        <w:tc>
          <w:tcPr>
            <w:tcW w:w="4673" w:type="dxa"/>
          </w:tcPr>
          <w:p w:rsidR="007A6B81" w:rsidRDefault="00ED5E7A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7A6B81" w:rsidRDefault="00164060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11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10" o:title=""/>
                </v:shape>
              </w:pict>
            </w:r>
            <w:bookmarkEnd w:id="11"/>
          </w:p>
        </w:tc>
      </w:tr>
      <w:tr w:rsidR="00401406" w:rsidTr="00EC36C7">
        <w:trPr>
          <w:trHeight w:val="286"/>
        </w:trPr>
        <w:tc>
          <w:tcPr>
            <w:tcW w:w="4673" w:type="dxa"/>
          </w:tcPr>
          <w:p w:rsidR="007A6B81" w:rsidRDefault="00ED5E7A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ED5E7A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12" w:name="gdocs_nombre"/>
            <w:r w:rsidRPr="00F87D2B">
              <w:rPr>
                <w:b/>
              </w:rPr>
              <w:t xml:space="preserve">CARMEN ROSA MENDOZA SUAREZ </w:t>
            </w:r>
            <w:bookmarkEnd w:id="12"/>
          </w:p>
        </w:tc>
      </w:tr>
    </w:tbl>
    <w:p w:rsidR="00EC36C7" w:rsidRDefault="00ED5E7A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9C60E0" w:rsidRPr="009C60E0" w:rsidRDefault="00ED5E7A" w:rsidP="009C60E0">
      <w:pPr>
        <w:jc w:val="both"/>
        <w:rPr>
          <w:rFonts w:cs="Arial"/>
          <w:sz w:val="20"/>
        </w:rPr>
      </w:pPr>
      <w:r w:rsidRPr="009C60E0">
        <w:rPr>
          <w:rFonts w:cs="Arial"/>
          <w:sz w:val="20"/>
        </w:rPr>
        <w:lastRenderedPageBreak/>
        <w:t xml:space="preserve">Anexo:      SI </w:t>
      </w:r>
      <w:r w:rsidRPr="009C60E0">
        <w:rPr>
          <w:rFonts w:cs="Arial"/>
          <w:sz w:val="20"/>
          <w:u w:val="single"/>
        </w:rPr>
        <w:t>_x</w:t>
      </w:r>
      <w:r w:rsidRPr="009C60E0">
        <w:rPr>
          <w:rFonts w:cs="Arial"/>
          <w:sz w:val="20"/>
        </w:rPr>
        <w:t xml:space="preserve">_   </w:t>
      </w:r>
      <w:r w:rsidRPr="009C60E0">
        <w:rPr>
          <w:rFonts w:cs="Arial"/>
          <w:sz w:val="20"/>
        </w:rPr>
        <w:tab/>
        <w:t>NO __</w:t>
      </w:r>
      <w:r w:rsidRPr="009C60E0">
        <w:rPr>
          <w:rFonts w:cs="Arial"/>
          <w:sz w:val="20"/>
        </w:rPr>
        <w:tab/>
      </w:r>
      <w:r w:rsidRPr="009C60E0">
        <w:rPr>
          <w:rFonts w:cs="Arial"/>
          <w:sz w:val="20"/>
        </w:rPr>
        <w:tab/>
      </w:r>
      <w:r w:rsidRPr="009C60E0">
        <w:rPr>
          <w:rFonts w:cs="Arial"/>
          <w:sz w:val="20"/>
        </w:rPr>
        <w:tab/>
        <w:t xml:space="preserve">Archivo en Excel. </w:t>
      </w:r>
    </w:p>
    <w:p w:rsidR="009C60E0" w:rsidRPr="009C60E0" w:rsidRDefault="00ED5E7A" w:rsidP="009C60E0">
      <w:pPr>
        <w:jc w:val="both"/>
        <w:rPr>
          <w:rFonts w:cs="Arial"/>
          <w:sz w:val="20"/>
        </w:rPr>
      </w:pPr>
    </w:p>
    <w:p w:rsidR="009C60E0" w:rsidRPr="009C60E0" w:rsidRDefault="00ED5E7A" w:rsidP="009C60E0">
      <w:pPr>
        <w:jc w:val="both"/>
        <w:rPr>
          <w:rFonts w:cs="Arial"/>
          <w:sz w:val="20"/>
        </w:rPr>
      </w:pPr>
      <w:r w:rsidRPr="009C60E0">
        <w:rPr>
          <w:rFonts w:cs="Arial"/>
          <w:sz w:val="20"/>
        </w:rPr>
        <w:t>Proyectó y Elaboró: María Tatiana Rojas.</w:t>
      </w:r>
    </w:p>
    <w:p w:rsidR="009C60E0" w:rsidRPr="009C60E0" w:rsidRDefault="00ED5E7A" w:rsidP="009C60E0">
      <w:pPr>
        <w:jc w:val="both"/>
        <w:rPr>
          <w:rFonts w:cs="Arial"/>
          <w:sz w:val="20"/>
        </w:rPr>
      </w:pPr>
      <w:r w:rsidRPr="009C60E0">
        <w:rPr>
          <w:rFonts w:cs="Arial"/>
          <w:sz w:val="20"/>
        </w:rPr>
        <w:t>Aprobó y reviso: Carmen Rosa Mendoza.</w:t>
      </w:r>
    </w:p>
    <w:p w:rsidR="00C94A59" w:rsidRDefault="00ED5E7A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sectPr w:rsidR="00C94A59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7A" w:rsidRDefault="00ED5E7A">
      <w:r>
        <w:separator/>
      </w:r>
    </w:p>
  </w:endnote>
  <w:endnote w:type="continuationSeparator" w:id="0">
    <w:p w:rsidR="00ED5E7A" w:rsidRDefault="00ED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ED5E7A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ED5E7A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ED5E7A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ED5E7A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ED5E7A" w:rsidP="00BD6F23">
    <w:pPr>
      <w:pStyle w:val="Piedepgina"/>
      <w:jc w:val="left"/>
    </w:pPr>
  </w:p>
  <w:p w:rsidR="007732BF" w:rsidRDefault="00ED5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7A" w:rsidRDefault="00ED5E7A">
      <w:r>
        <w:separator/>
      </w:r>
    </w:p>
  </w:footnote>
  <w:footnote w:type="continuationSeparator" w:id="0">
    <w:p w:rsidR="00ED5E7A" w:rsidRDefault="00ED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ED5E7A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ED5E7A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ED5E7A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3-2015-20827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2015-10-06 17:04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701954</w:t>
                          </w:r>
                          <w:bookmarkEnd w:id="4"/>
                        </w:p>
                        <w:p w:rsidR="007732BF" w:rsidRPr="00C71928" w:rsidRDefault="00ED5E7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>MARIA TERESA VELANDIA FERNADEZ</w:t>
                          </w:r>
                          <w:bookmarkEnd w:id="5"/>
                        </w:p>
                        <w:p w:rsidR="007732BF" w:rsidRDefault="00ED5E7A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ED5E7A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13000-19059</w:t>
                          </w:r>
                          <w:bookmarkEnd w:id="9"/>
                        </w:p>
                        <w:p w:rsidR="007732BF" w:rsidRPr="00FC7DD4" w:rsidRDefault="00ED5E7A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height:66.65pt;margin-left:-3.3pt;margin-top:-4.85pt;mso-wrap-distance-bottom:0;mso-wrap-distance-left:9pt;mso-wrap-distance-right:9pt;mso-wrap-distance-top:0;mso-wrap-style:square;position:absolute;v-text-anchor:top;visibility:visible;width:267.05pt;z-index:251659264" filled="f" strokecolor="white">
              <v:textbox>
                <w:txbxContent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" w:name="gdocs_hasAnexos"/>
                    <w:bookmarkEnd w:id="1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X  </w:t>
                    </w:r>
                    <w:bookmarkEnd w:id="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XXXX-XX-XX </w:t>
                    </w:r>
                    <w:r>
                      <w:rPr>
                        <w:rFonts w:ascii="Arial Narrow" w:hAnsi="Arial Narrow"/>
                        <w:sz w:val="18"/>
                      </w:rPr>
                      <w:t>XX:XX</w:t>
                    </w:r>
                    <w:bookmarkEnd w:id="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4" w:name="gdocs_numPro"/>
                    <w:r>
                      <w:rPr>
                        <w:rFonts w:ascii="Arial Narrow" w:hAnsi="Arial Narrow"/>
                        <w:sz w:val="18"/>
                      </w:rPr>
                      <w:t>701954</w:t>
                    </w:r>
                    <w:bookmarkEnd w:id="4"/>
                  </w:p>
                  <w:p w:rsidR="007732BF" w:rsidRPr="00C71928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>MARIA TERESA VELANDIA FERNADEZ</w:t>
                    </w:r>
                    <w:bookmarkEnd w:id="5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XXXXXXXXXXXXXXXXXXXXXXXXXXXXXXX</w:t>
                    </w:r>
                    <w:bookmarkEnd w:id="6"/>
                  </w:p>
                  <w:p w:rsidR="007732BF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7" w:name="gdocs_claDoc"/>
                    <w:r>
                      <w:rPr>
                        <w:rFonts w:ascii="Arial Narrow" w:hAnsi="Arial Narrow"/>
                        <w:sz w:val="18"/>
                      </w:rPr>
                      <w:t xml:space="preserve">XXXXXXXX </w:t>
                    </w:r>
                    <w:bookmarkEnd w:id="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8" w:name="gdocs_tipDoc"/>
                    <w:r>
                      <w:rPr>
                        <w:rFonts w:ascii="Arial Narrow" w:hAnsi="Arial Narrow"/>
                        <w:sz w:val="18"/>
                      </w:rPr>
                      <w:t>XXXXXXXX</w:t>
                    </w:r>
                    <w:bookmarkEnd w:id="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9" w:name="numdoc"/>
                    <w:r>
                      <w:rPr>
                        <w:rFonts w:ascii="Arial Narrow" w:hAnsi="Arial Narrow"/>
                        <w:sz w:val="18"/>
                      </w:rPr>
                      <w:t>XXXXXX-XXXXX</w:t>
                    </w:r>
                    <w:bookmarkEnd w:id="9"/>
                  </w:p>
                  <w:p w:rsidR="007732BF" w:rsidRPr="00FC7DD4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id="AutoShape 4" o:spid="_x0000_s2050" style="height:66.65pt;margin-left:-2.35pt;margin-top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67.05pt;z-index:251661312" arcsize="10923f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02D8"/>
    <w:multiLevelType w:val="hybridMultilevel"/>
    <w:tmpl w:val="9684F114"/>
    <w:lvl w:ilvl="0" w:tplc="F7BECD8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9FC007D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9F256A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5A45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5C2575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65C6BC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C6FEE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326363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F78921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A373BF4"/>
    <w:multiLevelType w:val="hybridMultilevel"/>
    <w:tmpl w:val="285CB524"/>
    <w:lvl w:ilvl="0" w:tplc="7BEA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A0007A" w:tentative="1">
      <w:start w:val="1"/>
      <w:numFmt w:val="lowerLetter"/>
      <w:lvlText w:val="%2."/>
      <w:lvlJc w:val="left"/>
      <w:pPr>
        <w:ind w:left="1440" w:hanging="360"/>
      </w:pPr>
    </w:lvl>
    <w:lvl w:ilvl="2" w:tplc="A612957C" w:tentative="1">
      <w:start w:val="1"/>
      <w:numFmt w:val="lowerRoman"/>
      <w:lvlText w:val="%3."/>
      <w:lvlJc w:val="right"/>
      <w:pPr>
        <w:ind w:left="2160" w:hanging="180"/>
      </w:pPr>
    </w:lvl>
    <w:lvl w:ilvl="3" w:tplc="634A6CB4" w:tentative="1">
      <w:start w:val="1"/>
      <w:numFmt w:val="decimal"/>
      <w:lvlText w:val="%4."/>
      <w:lvlJc w:val="left"/>
      <w:pPr>
        <w:ind w:left="2880" w:hanging="360"/>
      </w:pPr>
    </w:lvl>
    <w:lvl w:ilvl="4" w:tplc="93406A80" w:tentative="1">
      <w:start w:val="1"/>
      <w:numFmt w:val="lowerLetter"/>
      <w:lvlText w:val="%5."/>
      <w:lvlJc w:val="left"/>
      <w:pPr>
        <w:ind w:left="3600" w:hanging="360"/>
      </w:pPr>
    </w:lvl>
    <w:lvl w:ilvl="5" w:tplc="2452DEC0" w:tentative="1">
      <w:start w:val="1"/>
      <w:numFmt w:val="lowerRoman"/>
      <w:lvlText w:val="%6."/>
      <w:lvlJc w:val="right"/>
      <w:pPr>
        <w:ind w:left="4320" w:hanging="180"/>
      </w:pPr>
    </w:lvl>
    <w:lvl w:ilvl="6" w:tplc="06CC07DA" w:tentative="1">
      <w:start w:val="1"/>
      <w:numFmt w:val="decimal"/>
      <w:lvlText w:val="%7."/>
      <w:lvlJc w:val="left"/>
      <w:pPr>
        <w:ind w:left="5040" w:hanging="360"/>
      </w:pPr>
    </w:lvl>
    <w:lvl w:ilvl="7" w:tplc="7654FE36" w:tentative="1">
      <w:start w:val="1"/>
      <w:numFmt w:val="lowerLetter"/>
      <w:lvlText w:val="%8."/>
      <w:lvlJc w:val="left"/>
      <w:pPr>
        <w:ind w:left="5760" w:hanging="360"/>
      </w:pPr>
    </w:lvl>
    <w:lvl w:ilvl="8" w:tplc="EE303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E7942"/>
    <w:multiLevelType w:val="hybridMultilevel"/>
    <w:tmpl w:val="6BE0F680"/>
    <w:lvl w:ilvl="0" w:tplc="D7C40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0D6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0F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21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89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3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4D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2F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47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13CAE"/>
    <w:multiLevelType w:val="hybridMultilevel"/>
    <w:tmpl w:val="58088C02"/>
    <w:lvl w:ilvl="0" w:tplc="CEBC8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26D1DC">
      <w:start w:val="1"/>
      <w:numFmt w:val="lowerLetter"/>
      <w:lvlText w:val="%2."/>
      <w:lvlJc w:val="left"/>
      <w:pPr>
        <w:ind w:left="2160" w:hanging="360"/>
      </w:pPr>
    </w:lvl>
    <w:lvl w:ilvl="2" w:tplc="A016D404" w:tentative="1">
      <w:start w:val="1"/>
      <w:numFmt w:val="lowerRoman"/>
      <w:lvlText w:val="%3."/>
      <w:lvlJc w:val="right"/>
      <w:pPr>
        <w:ind w:left="2880" w:hanging="180"/>
      </w:pPr>
    </w:lvl>
    <w:lvl w:ilvl="3" w:tplc="4D589004" w:tentative="1">
      <w:start w:val="1"/>
      <w:numFmt w:val="decimal"/>
      <w:lvlText w:val="%4."/>
      <w:lvlJc w:val="left"/>
      <w:pPr>
        <w:ind w:left="3600" w:hanging="360"/>
      </w:pPr>
    </w:lvl>
    <w:lvl w:ilvl="4" w:tplc="6A06FA7C" w:tentative="1">
      <w:start w:val="1"/>
      <w:numFmt w:val="lowerLetter"/>
      <w:lvlText w:val="%5."/>
      <w:lvlJc w:val="left"/>
      <w:pPr>
        <w:ind w:left="4320" w:hanging="360"/>
      </w:pPr>
    </w:lvl>
    <w:lvl w:ilvl="5" w:tplc="F1A04E46" w:tentative="1">
      <w:start w:val="1"/>
      <w:numFmt w:val="lowerRoman"/>
      <w:lvlText w:val="%6."/>
      <w:lvlJc w:val="right"/>
      <w:pPr>
        <w:ind w:left="5040" w:hanging="180"/>
      </w:pPr>
    </w:lvl>
    <w:lvl w:ilvl="6" w:tplc="3C62E2CE" w:tentative="1">
      <w:start w:val="1"/>
      <w:numFmt w:val="decimal"/>
      <w:lvlText w:val="%7."/>
      <w:lvlJc w:val="left"/>
      <w:pPr>
        <w:ind w:left="5760" w:hanging="360"/>
      </w:pPr>
    </w:lvl>
    <w:lvl w:ilvl="7" w:tplc="A25E86F4" w:tentative="1">
      <w:start w:val="1"/>
      <w:numFmt w:val="lowerLetter"/>
      <w:lvlText w:val="%8."/>
      <w:lvlJc w:val="left"/>
      <w:pPr>
        <w:ind w:left="6480" w:hanging="360"/>
      </w:pPr>
    </w:lvl>
    <w:lvl w:ilvl="8" w:tplc="C9A8BB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52BA1"/>
    <w:multiLevelType w:val="hybridMultilevel"/>
    <w:tmpl w:val="E7E01A2A"/>
    <w:lvl w:ilvl="0" w:tplc="ACF23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EC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42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69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3E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A1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D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A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4D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D133F"/>
    <w:multiLevelType w:val="hybridMultilevel"/>
    <w:tmpl w:val="2626E61C"/>
    <w:lvl w:ilvl="0" w:tplc="A936FA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0E3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0F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4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5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6B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A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27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31592"/>
    <w:multiLevelType w:val="hybridMultilevel"/>
    <w:tmpl w:val="AC581A22"/>
    <w:lvl w:ilvl="0" w:tplc="84A8A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DBD04040" w:tentative="1">
      <w:start w:val="1"/>
      <w:numFmt w:val="lowerLetter"/>
      <w:lvlText w:val="%2."/>
      <w:lvlJc w:val="left"/>
      <w:pPr>
        <w:ind w:left="1440" w:hanging="360"/>
      </w:pPr>
    </w:lvl>
    <w:lvl w:ilvl="2" w:tplc="4A68D62E" w:tentative="1">
      <w:start w:val="1"/>
      <w:numFmt w:val="lowerRoman"/>
      <w:lvlText w:val="%3."/>
      <w:lvlJc w:val="right"/>
      <w:pPr>
        <w:ind w:left="2160" w:hanging="180"/>
      </w:pPr>
    </w:lvl>
    <w:lvl w:ilvl="3" w:tplc="4FF249B6" w:tentative="1">
      <w:start w:val="1"/>
      <w:numFmt w:val="decimal"/>
      <w:lvlText w:val="%4."/>
      <w:lvlJc w:val="left"/>
      <w:pPr>
        <w:ind w:left="2880" w:hanging="360"/>
      </w:pPr>
    </w:lvl>
    <w:lvl w:ilvl="4" w:tplc="28BAE232" w:tentative="1">
      <w:start w:val="1"/>
      <w:numFmt w:val="lowerLetter"/>
      <w:lvlText w:val="%5."/>
      <w:lvlJc w:val="left"/>
      <w:pPr>
        <w:ind w:left="3600" w:hanging="360"/>
      </w:pPr>
    </w:lvl>
    <w:lvl w:ilvl="5" w:tplc="21BC8812" w:tentative="1">
      <w:start w:val="1"/>
      <w:numFmt w:val="lowerRoman"/>
      <w:lvlText w:val="%6."/>
      <w:lvlJc w:val="right"/>
      <w:pPr>
        <w:ind w:left="4320" w:hanging="180"/>
      </w:pPr>
    </w:lvl>
    <w:lvl w:ilvl="6" w:tplc="B3901314" w:tentative="1">
      <w:start w:val="1"/>
      <w:numFmt w:val="decimal"/>
      <w:lvlText w:val="%7."/>
      <w:lvlJc w:val="left"/>
      <w:pPr>
        <w:ind w:left="5040" w:hanging="360"/>
      </w:pPr>
    </w:lvl>
    <w:lvl w:ilvl="7" w:tplc="2C52C99E" w:tentative="1">
      <w:start w:val="1"/>
      <w:numFmt w:val="lowerLetter"/>
      <w:lvlText w:val="%8."/>
      <w:lvlJc w:val="left"/>
      <w:pPr>
        <w:ind w:left="5760" w:hanging="360"/>
      </w:pPr>
    </w:lvl>
    <w:lvl w:ilvl="8" w:tplc="6F465F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06"/>
    <w:rsid w:val="00164060"/>
    <w:rsid w:val="00401406"/>
    <w:rsid w:val="00E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6FCD7093-A689-4AFC-A2F0-01946770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C60E0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6A2B-8E15-4253-99F3-2EAA3A9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7</Pages>
  <Words>2128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Daniela Maria Hoyos Gomez</cp:lastModifiedBy>
  <cp:revision>2</cp:revision>
  <dcterms:created xsi:type="dcterms:W3CDTF">2015-10-06T22:05:00Z</dcterms:created>
  <dcterms:modified xsi:type="dcterms:W3CDTF">2015-10-06T22:05:00Z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  <property fmtid="{D5CDD505-2E9C-101B-9397-08002B2CF9AE}" pid="3" name="_MarkAsFinal">
    <vt:bool>true</vt:bool>
  </property>
</Properties>
</file>